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30.05.2023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«Возрождая традиции, укрепляем страну»: как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отметит 38-й день рождения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1 июня отметит день рождения. В честь 38-летия Центра состоится большой праздник, который объединит 1200 детей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регион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страны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«Возрождая традиции, укрепляем страну!»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 таким девизом пройдет 38-ой день рождения Всероссийского детского центра «Смена». Первого июн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раздничные мероприятия соберут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детей, партнеров и гостей «Смены» из разных регионов страны.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этом году мы посвящаем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праздник выдающимся педагогам, благодаря которым сегодня у нас высокообразованная и талантливая молодежь. Постепенно «Смена» вернулась к истокам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активней работает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только со школьниками, но и со студентами СПО, организуя для них образовательные программы, нацеленные на профориентацию и реализацию профессиональных навыков. Уверен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что праздник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вдохновит ребят на новые достижения, повысит престиж педагогического труда и мотивирует сменовцев на осознанный выбор будущей профессии»,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рассказал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Откроет праздничное утро торжественная линейка, стилизованная в духе 1 июня 1985 года - дня открытия Всесоюзного трудового оздоровительного лагеря «Рабочая Смена». Подобно учащимся профтехучилищ, сменовцы пройдут посвящение в ряды рабочей молодежи и дадут клятву труду и педагогу.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ребята отправятся на праздничные площадки, посвященные выдающимся отечественным педагогам: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Антону Макаренко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Константину  Ушинскому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Льву Выготскому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заслуженному мастеру спорта СССР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Анатолию Харлампиеву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советскому поэту и прозаику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Расулу Гамзатову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Там ребята познакомятся с вкладом, которые знаменитые педагоги внесли в развитие отечественной системы образования, примут участие в игровых программах, будут петь, танцевать, читать стихи, пробовать себя в разных профессиях.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стадионе ребят ждут активности, посвященные 85-летию самбо. Еще дети сыграют в баскетбол, мини-гольф, большие шахматы и выйдут на праздничный футбольный матч против команды педагогов детского центра.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сменовцев и гостей праздника выступят участники образовательной программы «Дорога в цирк», артисты Московского цирка Юрия Никулина, а на площадке, посвященной Расулу Гамзатову, ребята познакомятся с его литературным наследием и встретятся с аварскими поэтами. Также сменовцев ждут театрализованное и научное шоу, фестиваль красок холи. </w:t>
      </w:r>
    </w:p>
    <w:p w:rsidR="00000000" w:rsidDel="00000000" w:rsidP="00000000" w:rsidRDefault="00000000" w:rsidRPr="00000000" w14:paraId="0000000F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 июня на Аллее Российской Славы «Смены» традиционно появятся новые герои. В этом году их сразу два. Это бюсты художника-мариниста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Ивана Айвазовского,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ставшего победителем поисково-просветительской экспедиции «Имя России» в 2022 году,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Константину Ушинскому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честь Года педагога и наставника.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 ребята будут отмечать праздник на тематических площадках, партнеры и гости «Смены» сыграют в интеллектуальную игру «Интернет-колледж», ведущим которой станет капитан команды интеллектуального клуба «Что? Где? Когда?», обладатель приза «Хрустальная сова»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Борис Белозеров.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Игрокам предстоит ответить на вопросы на общую эрудицию и в то же время связанные с основными направлениями работы «Смены». </w:t>
      </w:r>
    </w:p>
    <w:p w:rsidR="00000000" w:rsidDel="00000000" w:rsidP="00000000" w:rsidRDefault="00000000" w:rsidRPr="00000000" w14:paraId="00000011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дню рождения присоединятся и дети из пришкольного лагеря  основной общеобразовательной школы № 17 имени трижды героя Советского Союза А.И. Покрышкина из села Сукко Анапского района, в котором расположена «Смена». А руководители школы и Всероссийского детского центра заключат соглашение о сотрудничестве на постоянной основе.</w:t>
      </w:r>
    </w:p>
    <w:p w:rsidR="00000000" w:rsidDel="00000000" w:rsidP="00000000" w:rsidRDefault="00000000" w:rsidRPr="00000000" w14:paraId="00000012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один партнерский договор «Смена» подпишет с научно-популярным журналом «Думай» - одним из ведущих изданий страны для детей и родителей. В рамках соглашения запланированы совместные мероприятия по повышению читательского интереса у молодого поколения, а все ребята, приехавшие на первую летнюю смену, получат по экземпляру журнала.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финале дня сменовцы и гости получат значки «Отличник «Смены», а завершением праздника станет станет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концерт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участием артистов детского музыкального театра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«Домисолька»,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финалиста «Новой Фабрики звезд» и участника вокального телешоу «Голос»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Даниила Данилевского,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кавер-групп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«Жара»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7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ListLabel1">
    <w:name w:val="ListLabel 1"/>
    <w:next w:val="ListLabel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SLxXY5y05YudQjT2ig2f1iKOvA==">CgMxLjAyCWlkLmdqZGd4czgAciExYlBmN3hsdUdSUUJvVnFGYk91QW02WkNFQkFwTEttR2k=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