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3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Фильмы сменовцев покажут в эфире нового телеканала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Фильмы участников «Детской киноакадемии» выйдут в эфире нового телеканала компании «Триколор». Оператор цифрового телевидения стал информационным партнером «Смены» и покажет самые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яркие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канале «Большой эфир».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Российский оператор цифрового телевидения Триколор стал информационном партнером Всероссийского детского центра «Смена».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«Нам очень импонирует позиция Триколора, который поддерживает детские инициативы и творческие проекты школьников. Теперь, приезжая в наш Центр, дети смогут не только погрузиться в профессии киноиндустрии и встретиться с ее звездами, но и увидеть свои работы в телевизионном эфире»,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аботы участников «Детской киноакадемии»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выйдут в эфир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в августе, в рамках проект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«Дети снимают кино» на телеканале «Большой эфир» от Триколора. Телеканал также доступен  всем желающим на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shd w:fill="auto" w:val="clear"/>
          <w:vertAlign w:val="baseline"/>
          <w:rtl w:val="0"/>
        </w:rPr>
        <w:t xml:space="preserve">оператора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«Мы регулярно продвигаем снятые под руководством наставников талантливые видеоработы детей и даже создали для этого специальный проект на нашем канале. Такие показы прекрасно подходят для семейного просмотра и, по отзывам родителей, мотивируют юных телезрителей к творчеству», — говорит генеральный продюсер Триколора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Михаил Анисимов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Авторский проект «Детская киноакадемия» реализуется в «Смене» с 2016 года при поддержке Министерства просвещения России. П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артнер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Санкт-Петербургск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институт кино и телевидения. За это время  участниками киносмены стали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свыше 1,5 тысяч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ребят из разных регионов России.  Фильмы, снятые сменовцами,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несколько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раз выигрывали Гран-при на международных и всероссийских кинофестивалях.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ongti SC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hi-IN" w:eastAsia="zh-CN" w:val="ru-RU"/>
    </w:rPr>
  </w:style>
  <w:style w:type="paragraph" w:styleId="annotationsubject">
    <w:name w:val="annotation subject"/>
    <w:next w:val="annotationsubjec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kino.tricolor.tv/?utm_source=reliz&amp;utm_medium=pereh&amp;utm_campaign=gp" TargetMode="External"/><Relationship Id="rId9" Type="http://schemas.openxmlformats.org/officeDocument/2006/relationships/hyperlink" Target="https://kino.tricolor.tv/?utm_source=reliz&amp;utm_medium=pereh&amp;utm_campaign=g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wxnOWwkRpBirZCqsZTsir+aDA==">CgMxLjAyCWlkLmdqZGd4czgAciExQVRaSWNWemtvM01Kb1NJMUJQMmFxVWdEb1JyTkpfWVQ=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</Properties>
</file>